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91452" w14:textId="77777777" w:rsidR="00C90BE0" w:rsidRPr="00102474" w:rsidRDefault="00102474" w:rsidP="00102474">
      <w:pPr>
        <w:spacing w:after="87" w:line="239" w:lineRule="auto"/>
        <w:ind w:left="380" w:right="2174" w:firstLine="216"/>
        <w:jc w:val="left"/>
        <w:rPr>
          <w:rFonts w:ascii="Arial" w:eastAsia="Arial" w:hAnsi="Arial" w:cs="Arial"/>
          <w:sz w:val="18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0" wp14:anchorId="25A2CF3C" wp14:editId="71F4FEF2">
            <wp:simplePos x="0" y="0"/>
            <wp:positionH relativeFrom="column">
              <wp:posOffset>241394</wp:posOffset>
            </wp:positionH>
            <wp:positionV relativeFrom="paragraph">
              <wp:posOffset>-158177</wp:posOffset>
            </wp:positionV>
            <wp:extent cx="830580" cy="78613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 xml:space="preserve">             REPUBLIKA NG PILIPINAS </w:t>
      </w:r>
      <w:r>
        <w:rPr>
          <w:sz w:val="28"/>
        </w:rPr>
        <w:t xml:space="preserve">              </w:t>
      </w:r>
      <w:r>
        <w:t xml:space="preserve">KAWANIHAN NG INGATANG-YAMAN </w:t>
      </w:r>
    </w:p>
    <w:p w14:paraId="3C0D513A" w14:textId="77777777" w:rsidR="00C90BE0" w:rsidRDefault="00102474" w:rsidP="00102474">
      <w:pPr>
        <w:spacing w:line="259" w:lineRule="auto"/>
        <w:ind w:left="380" w:firstLine="0"/>
      </w:pPr>
      <w:r>
        <w:rPr>
          <w:rFonts w:ascii="Arial" w:eastAsia="Arial" w:hAnsi="Arial" w:cs="Arial"/>
          <w:sz w:val="16"/>
        </w:rPr>
        <w:t xml:space="preserve">                   </w:t>
      </w:r>
      <w:r>
        <w:rPr>
          <w:rFonts w:ascii="Arial" w:eastAsia="Arial" w:hAnsi="Arial" w:cs="Arial"/>
          <w:sz w:val="20"/>
        </w:rPr>
        <w:t xml:space="preserve">(BUREAU OF THE TREASURY) </w:t>
      </w:r>
    </w:p>
    <w:p w14:paraId="65F1E3D4" w14:textId="77777777" w:rsidR="00C90BE0" w:rsidRDefault="00102474" w:rsidP="00102474">
      <w:pPr>
        <w:spacing w:line="259" w:lineRule="auto"/>
        <w:ind w:left="380" w:firstLine="0"/>
      </w:pPr>
      <w:r>
        <w:rPr>
          <w:rFonts w:ascii="Arial" w:eastAsia="Arial" w:hAnsi="Arial" w:cs="Arial"/>
          <w:sz w:val="16"/>
        </w:rPr>
        <w:t xml:space="preserve">                          Intramuros, Manila 1002</w:t>
      </w:r>
      <w:r>
        <w:rPr>
          <w:rFonts w:ascii="Arial" w:eastAsia="Arial" w:hAnsi="Arial" w:cs="Arial"/>
          <w:sz w:val="22"/>
        </w:rPr>
        <w:t xml:space="preserve"> </w:t>
      </w:r>
    </w:p>
    <w:p w14:paraId="0BBE19FB" w14:textId="77777777" w:rsidR="00102474" w:rsidRDefault="00102474">
      <w:pPr>
        <w:spacing w:line="259" w:lineRule="auto"/>
        <w:ind w:left="0" w:firstLine="0"/>
        <w:jc w:val="left"/>
        <w:rPr>
          <w:rFonts w:ascii="Lucida Handwriting" w:eastAsia="Lucida Handwriting" w:hAnsi="Lucida Handwriting" w:cs="Lucida Handwriting"/>
          <w:sz w:val="17"/>
        </w:rPr>
      </w:pPr>
    </w:p>
    <w:p w14:paraId="16F75D1F" w14:textId="77777777" w:rsidR="00C90BE0" w:rsidRDefault="00102474">
      <w:pPr>
        <w:spacing w:line="259" w:lineRule="auto"/>
        <w:ind w:left="0" w:firstLine="0"/>
        <w:jc w:val="left"/>
      </w:pPr>
      <w:r>
        <w:rPr>
          <w:rFonts w:ascii="Lucida Handwriting" w:eastAsia="Lucida Handwriting" w:hAnsi="Lucida Handwriting" w:cs="Lucida Handwriting"/>
          <w:sz w:val="17"/>
        </w:rPr>
        <w:t xml:space="preserve">Funding the Republic </w:t>
      </w:r>
    </w:p>
    <w:p w14:paraId="0BAB8CCF" w14:textId="77777777" w:rsidR="00A009F5" w:rsidRDefault="00102474" w:rsidP="00997CE0">
      <w:pPr>
        <w:spacing w:line="259" w:lineRule="auto"/>
        <w:ind w:left="25" w:firstLine="0"/>
        <w:jc w:val="left"/>
      </w:pPr>
      <w:r>
        <w:rPr>
          <w:rFonts w:ascii="Garamond" w:eastAsia="Garamond" w:hAnsi="Garamond" w:cs="Garamond"/>
          <w:sz w:val="28"/>
        </w:rPr>
        <w:t xml:space="preserve"> </w:t>
      </w:r>
      <w:r>
        <w:t xml:space="preserve"> </w:t>
      </w:r>
      <w:r w:rsidR="00997CE0">
        <w:t xml:space="preserve">    </w:t>
      </w:r>
    </w:p>
    <w:p w14:paraId="2ABC24D0" w14:textId="15230740" w:rsidR="00997CE0" w:rsidRPr="00F94746" w:rsidRDefault="00E54180" w:rsidP="00E54180">
      <w:pPr>
        <w:spacing w:line="259" w:lineRule="auto"/>
        <w:ind w:left="25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F94746">
        <w:rPr>
          <w:rFonts w:asciiTheme="minorHAnsi" w:hAnsiTheme="minorHAnsi" w:cstheme="minorHAnsi"/>
          <w:b/>
          <w:bCs/>
          <w:szCs w:val="24"/>
        </w:rPr>
        <w:t>INVESTOR’S UNDERTAKING</w:t>
      </w:r>
    </w:p>
    <w:p w14:paraId="7BD9F20C" w14:textId="77777777" w:rsidR="00E54180" w:rsidRPr="00F94746" w:rsidRDefault="00E54180" w:rsidP="00F94746">
      <w:pPr>
        <w:spacing w:line="259" w:lineRule="auto"/>
        <w:ind w:left="25"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8BBC81E" w14:textId="77777777" w:rsidR="00A009F5" w:rsidRDefault="00A009F5" w:rsidP="00A009F5">
      <w:pPr>
        <w:ind w:left="2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I/We, Investor/s of government securities issued by the National Government, through the Bureau of the Treasury (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), undertake that:  </w:t>
      </w:r>
    </w:p>
    <w:p w14:paraId="46F8F9FE" w14:textId="77777777" w:rsidR="00A009F5" w:rsidRDefault="00A009F5" w:rsidP="00A009F5">
      <w:pPr>
        <w:spacing w:line="256" w:lineRule="auto"/>
        <w:ind w:left="2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589B6FF8" w14:textId="77777777" w:rsidR="00A009F5" w:rsidRDefault="00A009F5" w:rsidP="00A009F5">
      <w:pPr>
        <w:numPr>
          <w:ilvl w:val="0"/>
          <w:numId w:val="4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I/We shall be bound by the provisions of a written authority or a special power of attorney, or any relevant agreements I/we have entered into concerning my/our government securities holdings, thereby confirming my/our authority for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to carry out and execute the acts or instructions referred to in the aforesaid documents. </w:t>
      </w:r>
    </w:p>
    <w:p w14:paraId="5E23701B" w14:textId="77777777" w:rsidR="00A009F5" w:rsidRDefault="00A009F5" w:rsidP="00A009F5">
      <w:pPr>
        <w:spacing w:line="256" w:lineRule="auto"/>
        <w:ind w:left="38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1090B50C" w14:textId="77777777" w:rsidR="00A009F5" w:rsidRDefault="00A009F5" w:rsidP="00A009F5">
      <w:pPr>
        <w:numPr>
          <w:ilvl w:val="0"/>
          <w:numId w:val="4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It is understood that the National Registry of </w:t>
      </w:r>
      <w:proofErr w:type="spellStart"/>
      <w:r>
        <w:rPr>
          <w:rFonts w:asciiTheme="minorHAnsi" w:hAnsiTheme="minorHAnsi" w:cstheme="minorHAnsi"/>
          <w:sz w:val="22"/>
        </w:rPr>
        <w:t>Scripless</w:t>
      </w:r>
      <w:proofErr w:type="spellEnd"/>
      <w:r>
        <w:rPr>
          <w:rFonts w:asciiTheme="minorHAnsi" w:hAnsiTheme="minorHAnsi" w:cstheme="minorHAnsi"/>
          <w:sz w:val="22"/>
        </w:rPr>
        <w:t xml:space="preserve"> Securities (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) administered by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is the official registry of ownership of or interest in government securities issued  by the National Government under its scripless policy; that the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is operated by an electronic system (i.e., the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System or its successor system) which facilitates the transfers of securities in the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; and that I/we will abide by the rules, regulations, guidelines and procedures of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concerning government securities. </w:t>
      </w:r>
    </w:p>
    <w:p w14:paraId="1A7E3CCB" w14:textId="77777777" w:rsidR="00A009F5" w:rsidRDefault="00A009F5" w:rsidP="00A009F5">
      <w:pPr>
        <w:spacing w:line="256" w:lineRule="auto"/>
        <w:ind w:left="2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7EEEA65" w14:textId="77777777" w:rsidR="00A009F5" w:rsidRDefault="00A009F5" w:rsidP="00A009F5">
      <w:pPr>
        <w:ind w:left="2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And further undertake as follows:  </w:t>
      </w:r>
    </w:p>
    <w:p w14:paraId="23A31CCE" w14:textId="77777777" w:rsidR="00A009F5" w:rsidRDefault="00A009F5" w:rsidP="00A009F5">
      <w:pPr>
        <w:ind w:left="25" w:firstLine="0"/>
        <w:rPr>
          <w:rFonts w:asciiTheme="minorHAnsi" w:hAnsiTheme="minorHAnsi" w:cstheme="minorHAnsi"/>
          <w:sz w:val="22"/>
        </w:rPr>
      </w:pPr>
    </w:p>
    <w:p w14:paraId="4394C4E8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create/open through a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-recognized sponsor a securities account with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to ensure that title to scripless government securities is officially recorded in my/our name and under my/our control. </w:t>
      </w:r>
    </w:p>
    <w:p w14:paraId="3D52C95B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2C037011" w14:textId="0A72DE7A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as a condition for the creation/opening of my/our securities account with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, I/we have opened a settlement bank account with __________________________ (as Settlement Bank) </w:t>
      </w:r>
      <w:r w:rsidR="00E54180">
        <w:rPr>
          <w:rFonts w:asciiTheme="minorHAnsi" w:hAnsiTheme="minorHAnsi" w:cstheme="minorHAnsi"/>
          <w:sz w:val="22"/>
        </w:rPr>
        <w:t xml:space="preserve">or a BONDS.PH account </w:t>
      </w:r>
      <w:r>
        <w:rPr>
          <w:rFonts w:asciiTheme="minorHAnsi" w:hAnsiTheme="minorHAnsi" w:cstheme="minorHAnsi"/>
          <w:sz w:val="22"/>
        </w:rPr>
        <w:t xml:space="preserve">to which coupon and maturity proceeds any other payments to be made on my/our government securities holdings will be credited or debited; undertake to furnish the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of said settlement bank account number as a condition for the creation/opening of my/our securities account; and give notice at least three (3) business days prior to any coupon and/or maturity payment of any change in the settlement Bank and/or settlement bank account number. </w:t>
      </w:r>
    </w:p>
    <w:p w14:paraId="1AEF0502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5E9FE67B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no transfer of government securities shall be made or recorded in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during a prescribed Closed Period in accordance with the terms and conditions of the particular government securities issued. </w:t>
      </w:r>
    </w:p>
    <w:p w14:paraId="3759E4D6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0EACABA7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in the case any transaction involving my/our government securities including that of RTBs, I/we shall consult my/our broker/agent/custodian how to properly facilitate such transaction. I/we shall give relevant written instructions/authority to my/our broker/agent/custodian for any transaction involving my/our holdings under its sponsorship or custodianship. </w:t>
      </w:r>
    </w:p>
    <w:p w14:paraId="1141EB34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28E8F2F3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in order to receive notices, statements of securities account and other reports that may be needed from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, an appropriate request shall be filed through my/our broker/agent/custodian using electronic means. The request shall be made subject to the payment of appropriate fees pursuant to the Schedule of Fees as may be published by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.  </w:t>
      </w:r>
    </w:p>
    <w:p w14:paraId="0BBD0B94" w14:textId="77777777" w:rsidR="00A009F5" w:rsidRDefault="00A009F5" w:rsidP="00A009F5">
      <w:pPr>
        <w:spacing w:line="25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6E71E230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That I/we expressly agree and acknowledge that the crediting to the regular demand deposit account of my/our Settlement Bank of coupons and/or redemption value due my/our scripless government securities, shall constitute actual receipts of payment by me/us. </w:t>
      </w:r>
    </w:p>
    <w:p w14:paraId="21FF38D6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573424B6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hold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, its officers, employees and agents free and harmless against all suits, actions, damages or claims arising from failure of my/our Settlement bank to credit my/our bank account for coupons and maturity values on due date. </w:t>
      </w:r>
    </w:p>
    <w:p w14:paraId="06713216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F9B32E9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all my/our instructions affecting my/our scripless government securities which are transmitted to or received in good faith by the </w:t>
      </w:r>
      <w:proofErr w:type="spellStart"/>
      <w:r>
        <w:rPr>
          <w:rFonts w:asciiTheme="minorHAnsi" w:hAnsiTheme="minorHAnsi" w:cstheme="minorHAnsi"/>
          <w:sz w:val="22"/>
        </w:rPr>
        <w:t>NRoSS</w:t>
      </w:r>
      <w:proofErr w:type="spellEnd"/>
      <w:r>
        <w:rPr>
          <w:rFonts w:asciiTheme="minorHAnsi" w:hAnsiTheme="minorHAnsi" w:cstheme="minorHAnsi"/>
          <w:sz w:val="22"/>
        </w:rPr>
        <w:t xml:space="preserve"> System or any successor system operating the </w:t>
      </w:r>
      <w:proofErr w:type="spellStart"/>
      <w:r>
        <w:rPr>
          <w:rFonts w:asciiTheme="minorHAnsi" w:hAnsiTheme="minorHAnsi" w:cstheme="minorHAnsi"/>
          <w:sz w:val="22"/>
        </w:rPr>
        <w:t>RoSS</w:t>
      </w:r>
      <w:proofErr w:type="spellEnd"/>
      <w:r>
        <w:rPr>
          <w:rFonts w:asciiTheme="minorHAnsi" w:hAnsiTheme="minorHAnsi" w:cstheme="minorHAnsi"/>
          <w:sz w:val="22"/>
        </w:rPr>
        <w:t xml:space="preserve"> from myself/ourselves or my/our designated broker/ agent/custodian are covered by relevant documentation indicating my/our express consent and authority. </w:t>
      </w:r>
    </w:p>
    <w:p w14:paraId="3FFCE1F9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6375D250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I/we expressly warrant and authorize the delivery of copies of all evidence of authority granted to my/our designated broker/agent/custodian to transact on my/our scripless government securities upon reasonable demand by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. </w:t>
      </w:r>
    </w:p>
    <w:p w14:paraId="3A12447E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69DA7228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I/we undertake to immediately notify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of any unauthorized trade of my/our scripless government securities and until receipt of such notice, transactions effected by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in good faith are deemed valid. </w:t>
      </w:r>
    </w:p>
    <w:p w14:paraId="7C5A674E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33A286D" w14:textId="7C3DE448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render free and harmless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, its officers, employees and agents for any claim </w:t>
      </w:r>
      <w:r w:rsidR="003310DE">
        <w:rPr>
          <w:rFonts w:asciiTheme="minorHAnsi" w:hAnsiTheme="minorHAnsi" w:cstheme="minorHAnsi"/>
          <w:sz w:val="22"/>
        </w:rPr>
        <w:t>for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damages with respect to trade transactions carried out in good faith. </w:t>
      </w:r>
    </w:p>
    <w:p w14:paraId="592DB8A2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4A11134A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That while it is understood that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shall maintain the strict confidentiality of records in </w:t>
      </w:r>
      <w:proofErr w:type="spellStart"/>
      <w:r>
        <w:rPr>
          <w:rFonts w:asciiTheme="minorHAnsi" w:hAnsiTheme="minorHAnsi" w:cstheme="minorHAnsi"/>
          <w:sz w:val="22"/>
        </w:rPr>
        <w:t>RoSS</w:t>
      </w:r>
      <w:proofErr w:type="spellEnd"/>
      <w:r>
        <w:rPr>
          <w:rFonts w:asciiTheme="minorHAnsi" w:hAnsiTheme="minorHAnsi" w:cstheme="minorHAnsi"/>
          <w:sz w:val="22"/>
        </w:rPr>
        <w:t xml:space="preserve">. I/we hereby expressly waive and authorize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, to the extent allowed by law, to disclose relevant information in compliance with Anti-Money Laundering laws, rules and regulations and other legal orders of competent courts. </w:t>
      </w:r>
    </w:p>
    <w:p w14:paraId="0C1DE211" w14:textId="77777777" w:rsidR="00A009F5" w:rsidRDefault="00A009F5" w:rsidP="00A009F5">
      <w:pPr>
        <w:spacing w:line="256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1765407" w14:textId="77777777" w:rsidR="00A009F5" w:rsidRDefault="00A009F5" w:rsidP="00A009F5">
      <w:pPr>
        <w:numPr>
          <w:ilvl w:val="0"/>
          <w:numId w:val="5"/>
        </w:numPr>
        <w:spacing w:line="247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submit to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 the relevant special power of attorney or authorizations issued to my/our agent upon demand of the </w:t>
      </w:r>
      <w:proofErr w:type="spellStart"/>
      <w:r>
        <w:rPr>
          <w:rFonts w:asciiTheme="minorHAnsi" w:hAnsiTheme="minorHAnsi" w:cstheme="minorHAnsi"/>
          <w:sz w:val="22"/>
        </w:rPr>
        <w:t>BTr</w:t>
      </w:r>
      <w:proofErr w:type="spellEnd"/>
      <w:r>
        <w:rPr>
          <w:rFonts w:asciiTheme="minorHAnsi" w:hAnsiTheme="minorHAnsi" w:cstheme="minorHAnsi"/>
          <w:sz w:val="22"/>
        </w:rPr>
        <w:t xml:space="preserve">.   </w:t>
      </w:r>
    </w:p>
    <w:p w14:paraId="6382970A" w14:textId="77777777" w:rsidR="00A009F5" w:rsidRDefault="00A009F5" w:rsidP="00A009F5">
      <w:pPr>
        <w:ind w:left="0" w:firstLine="0"/>
        <w:rPr>
          <w:rFonts w:asciiTheme="minorHAnsi" w:eastAsia="Arial" w:hAnsiTheme="minorHAnsi" w:cstheme="minorHAnsi"/>
          <w:i/>
          <w:sz w:val="22"/>
        </w:rPr>
      </w:pPr>
    </w:p>
    <w:p w14:paraId="23E93646" w14:textId="77777777" w:rsidR="00A009F5" w:rsidRDefault="00A009F5" w:rsidP="00A009F5">
      <w:pPr>
        <w:ind w:left="730" w:firstLine="0"/>
        <w:rPr>
          <w:rFonts w:asciiTheme="minorHAnsi" w:eastAsia="Arial" w:hAnsiTheme="minorHAnsi" w:cstheme="minorHAnsi"/>
          <w:i/>
          <w:sz w:val="22"/>
        </w:rPr>
      </w:pPr>
    </w:p>
    <w:p w14:paraId="44D3D486" w14:textId="77777777" w:rsidR="00A009F5" w:rsidRDefault="00A009F5" w:rsidP="00A009F5">
      <w:pPr>
        <w:ind w:left="4330" w:firstLine="710"/>
        <w:rPr>
          <w:rFonts w:asciiTheme="minorHAnsi" w:hAnsiTheme="minorHAnsi" w:cstheme="minorHAnsi"/>
          <w:sz w:val="22"/>
        </w:rPr>
      </w:pPr>
      <w:r>
        <w:rPr>
          <w:rFonts w:asciiTheme="minorHAnsi" w:eastAsia="Arial" w:hAnsiTheme="minorHAnsi" w:cstheme="minorHAnsi"/>
          <w:i/>
          <w:sz w:val="22"/>
        </w:rPr>
        <w:t xml:space="preserve"> _________________________ </w:t>
      </w:r>
    </w:p>
    <w:tbl>
      <w:tblPr>
        <w:tblStyle w:val="TableGrid"/>
        <w:tblW w:w="8845" w:type="dxa"/>
        <w:tblInd w:w="25" w:type="dxa"/>
        <w:tblLook w:val="04A0" w:firstRow="1" w:lastRow="0" w:firstColumn="1" w:lastColumn="0" w:noHBand="0" w:noVBand="1"/>
      </w:tblPr>
      <w:tblGrid>
        <w:gridCol w:w="4855"/>
        <w:gridCol w:w="371"/>
        <w:gridCol w:w="3619"/>
      </w:tblGrid>
      <w:tr w:rsidR="00A009F5" w14:paraId="610D5BA3" w14:textId="77777777" w:rsidTr="00A009F5">
        <w:trPr>
          <w:trHeight w:val="1379"/>
        </w:trPr>
        <w:tc>
          <w:tcPr>
            <w:tcW w:w="4855" w:type="dxa"/>
          </w:tcPr>
          <w:p w14:paraId="0D8D0242" w14:textId="77777777" w:rsidR="00A009F5" w:rsidRDefault="00A009F5">
            <w:pPr>
              <w:spacing w:line="256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  <w:p w14:paraId="759C4ED4" w14:textId="77777777" w:rsidR="00A009F5" w:rsidRDefault="00A009F5">
            <w:pPr>
              <w:spacing w:line="242" w:lineRule="auto"/>
              <w:ind w:left="0" w:right="3827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</w:p>
          <w:p w14:paraId="08890558" w14:textId="77777777" w:rsidR="00A009F5" w:rsidRDefault="00A009F5">
            <w:pPr>
              <w:spacing w:line="242" w:lineRule="auto"/>
              <w:ind w:left="0" w:right="3827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</w:rPr>
              <w:t>Conforme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</w:rPr>
              <w:t xml:space="preserve">: </w:t>
            </w:r>
          </w:p>
        </w:tc>
        <w:tc>
          <w:tcPr>
            <w:tcW w:w="3990" w:type="dxa"/>
            <w:gridSpan w:val="2"/>
            <w:hideMark/>
          </w:tcPr>
          <w:p w14:paraId="0B9EAADB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    Name &amp; Signature of Investor </w:t>
            </w:r>
          </w:p>
        </w:tc>
      </w:tr>
      <w:tr w:rsidR="00A009F5" w14:paraId="10274699" w14:textId="77777777" w:rsidTr="00A009F5">
        <w:trPr>
          <w:trHeight w:val="275"/>
        </w:trPr>
        <w:tc>
          <w:tcPr>
            <w:tcW w:w="4855" w:type="dxa"/>
            <w:hideMark/>
          </w:tcPr>
          <w:p w14:paraId="58817260" w14:textId="77777777" w:rsidR="00A009F5" w:rsidRDefault="00A009F5">
            <w:pPr>
              <w:tabs>
                <w:tab w:val="center" w:pos="2881"/>
                <w:tab w:val="center" w:pos="3601"/>
              </w:tabs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Authorized Signatory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</w:tc>
        <w:tc>
          <w:tcPr>
            <w:tcW w:w="371" w:type="dxa"/>
            <w:hideMark/>
          </w:tcPr>
          <w:p w14:paraId="790DB7DF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3619" w:type="dxa"/>
            <w:hideMark/>
          </w:tcPr>
          <w:p w14:paraId="1E53CE8A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Authorized Signatory </w:t>
            </w:r>
          </w:p>
        </w:tc>
      </w:tr>
      <w:tr w:rsidR="00A009F5" w14:paraId="26E0BADC" w14:textId="77777777" w:rsidTr="00A009F5">
        <w:trPr>
          <w:trHeight w:val="277"/>
        </w:trPr>
        <w:tc>
          <w:tcPr>
            <w:tcW w:w="4855" w:type="dxa"/>
            <w:hideMark/>
          </w:tcPr>
          <w:p w14:paraId="4DCC137A" w14:textId="77777777" w:rsidR="00A009F5" w:rsidRDefault="00A009F5">
            <w:pPr>
              <w:tabs>
                <w:tab w:val="center" w:pos="3601"/>
              </w:tabs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Name, Designation&amp; Signature </w:t>
            </w:r>
            <w:r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</w:tc>
        <w:tc>
          <w:tcPr>
            <w:tcW w:w="371" w:type="dxa"/>
            <w:hideMark/>
          </w:tcPr>
          <w:p w14:paraId="29141C7E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3619" w:type="dxa"/>
            <w:hideMark/>
          </w:tcPr>
          <w:p w14:paraId="0395DA34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>Name, Designation &amp; Signature</w:t>
            </w:r>
          </w:p>
        </w:tc>
      </w:tr>
      <w:tr w:rsidR="00A009F5" w14:paraId="32B4DAEE" w14:textId="77777777" w:rsidTr="00A009F5">
        <w:trPr>
          <w:trHeight w:val="1852"/>
        </w:trPr>
        <w:tc>
          <w:tcPr>
            <w:tcW w:w="4855" w:type="dxa"/>
          </w:tcPr>
          <w:p w14:paraId="166D45B8" w14:textId="77777777" w:rsidR="00A009F5" w:rsidRDefault="00A009F5">
            <w:pPr>
              <w:tabs>
                <w:tab w:val="center" w:pos="2881"/>
                <w:tab w:val="center" w:pos="3601"/>
              </w:tabs>
              <w:spacing w:after="5"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Sponsoring Broker  </w:t>
            </w:r>
            <w:r>
              <w:rPr>
                <w:rFonts w:asciiTheme="minorHAnsi" w:eastAsia="Arial" w:hAnsiTheme="minorHAnsi" w:cstheme="minorHAnsi"/>
                <w:sz w:val="22"/>
              </w:rPr>
              <w:tab/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</w:rPr>
              <w:tab/>
              <w:t xml:space="preserve"> </w:t>
            </w:r>
          </w:p>
          <w:p w14:paraId="7918555E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hideMark/>
          </w:tcPr>
          <w:p w14:paraId="358FF9D3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</w:p>
        </w:tc>
        <w:tc>
          <w:tcPr>
            <w:tcW w:w="3619" w:type="dxa"/>
            <w:hideMark/>
          </w:tcPr>
          <w:p w14:paraId="6F6FE519" w14:textId="77777777" w:rsidR="00A009F5" w:rsidRDefault="00A009F5">
            <w:pPr>
              <w:spacing w:line="25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Settlement Bank </w:t>
            </w:r>
          </w:p>
        </w:tc>
      </w:tr>
    </w:tbl>
    <w:p w14:paraId="3AF621FA" w14:textId="77777777" w:rsidR="00C90BE0" w:rsidRPr="00997CE0" w:rsidRDefault="00102474">
      <w:pPr>
        <w:spacing w:after="3" w:line="259" w:lineRule="auto"/>
        <w:ind w:left="10" w:right="-13" w:hanging="10"/>
        <w:jc w:val="right"/>
        <w:rPr>
          <w:sz w:val="22"/>
        </w:rPr>
      </w:pPr>
      <w:r w:rsidRPr="00997CE0">
        <w:rPr>
          <w:rFonts w:ascii="Garamond" w:eastAsia="Garamond" w:hAnsi="Garamond" w:cs="Garamond"/>
          <w:sz w:val="22"/>
        </w:rPr>
        <w:t xml:space="preserve">2 </w:t>
      </w:r>
    </w:p>
    <w:p w14:paraId="18155D07" w14:textId="0ABDCF41" w:rsidR="00C90BE0" w:rsidRPr="004B424C" w:rsidRDefault="00102474" w:rsidP="004B424C">
      <w:pPr>
        <w:spacing w:line="259" w:lineRule="auto"/>
        <w:ind w:left="25" w:firstLine="0"/>
        <w:jc w:val="left"/>
        <w:rPr>
          <w:sz w:val="22"/>
        </w:rPr>
      </w:pPr>
      <w:r w:rsidRPr="00997CE0">
        <w:rPr>
          <w:rFonts w:ascii="Garamond" w:eastAsia="Garamond" w:hAnsi="Garamond" w:cs="Garamond"/>
          <w:sz w:val="22"/>
        </w:rPr>
        <w:t xml:space="preserve"> </w:t>
      </w:r>
      <w:r w:rsidRPr="00997CE0">
        <w:rPr>
          <w:rFonts w:ascii="Garamond" w:eastAsia="Garamond" w:hAnsi="Garamond" w:cs="Garamond"/>
          <w:sz w:val="22"/>
        </w:rPr>
        <w:tab/>
      </w:r>
    </w:p>
    <w:p w14:paraId="0E6DCECA" w14:textId="5BFE5B89" w:rsidR="00C90BE0" w:rsidRPr="004B424C" w:rsidRDefault="00C90BE0" w:rsidP="004B424C">
      <w:pPr>
        <w:spacing w:line="259" w:lineRule="auto"/>
        <w:ind w:left="25" w:firstLine="0"/>
        <w:jc w:val="left"/>
        <w:rPr>
          <w:sz w:val="22"/>
        </w:rPr>
      </w:pPr>
    </w:p>
    <w:sectPr w:rsidR="00C90BE0" w:rsidRPr="004B424C" w:rsidSect="00F821E9">
      <w:headerReference w:type="default" r:id="rId12"/>
      <w:headerReference w:type="first" r:id="rId13"/>
      <w:pgSz w:w="11909" w:h="16834"/>
      <w:pgMar w:top="450" w:right="1437" w:bottom="0" w:left="141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53EF7" w14:textId="77777777" w:rsidR="00A001A5" w:rsidRDefault="00A001A5" w:rsidP="00D74F38">
      <w:pPr>
        <w:spacing w:line="240" w:lineRule="auto"/>
      </w:pPr>
      <w:r>
        <w:separator/>
      </w:r>
    </w:p>
  </w:endnote>
  <w:endnote w:type="continuationSeparator" w:id="0">
    <w:p w14:paraId="430D0816" w14:textId="77777777" w:rsidR="00A001A5" w:rsidRDefault="00A001A5" w:rsidP="00D74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E441" w14:textId="77777777" w:rsidR="00A001A5" w:rsidRDefault="00A001A5" w:rsidP="00D74F38">
      <w:pPr>
        <w:spacing w:line="240" w:lineRule="auto"/>
      </w:pPr>
      <w:r>
        <w:separator/>
      </w:r>
    </w:p>
  </w:footnote>
  <w:footnote w:type="continuationSeparator" w:id="0">
    <w:p w14:paraId="4719B38B" w14:textId="77777777" w:rsidR="00A001A5" w:rsidRDefault="00A001A5" w:rsidP="00D74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CF83" w14:textId="77777777" w:rsidR="00F821E9" w:rsidRDefault="00D74F38">
    <w:pPr>
      <w:pStyle w:val="Header"/>
      <w:rPr>
        <w:lang w:val="en-PH"/>
      </w:rPr>
    </w:pPr>
    <w:r>
      <w:rPr>
        <w:lang w:val="en-PH"/>
      </w:rPr>
      <w:t xml:space="preserve">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3937" w14:textId="776CBFEA" w:rsidR="00F821E9" w:rsidRPr="00C3090C" w:rsidRDefault="00F821E9" w:rsidP="00F821E9">
    <w:pPr>
      <w:pStyle w:val="Header"/>
      <w:jc w:val="right"/>
      <w:rPr>
        <w:rFonts w:asciiTheme="minorHAnsi" w:hAnsiTheme="minorHAnsi" w:cstheme="minorHAnsi"/>
        <w:b/>
        <w:sz w:val="22"/>
        <w:u w:val="single"/>
        <w:lang w:val="en-PH"/>
      </w:rPr>
    </w:pPr>
    <w:r w:rsidRPr="00C3090C">
      <w:rPr>
        <w:rFonts w:asciiTheme="minorHAnsi" w:hAnsiTheme="minorHAnsi" w:cstheme="minorHAnsi"/>
        <w:b/>
        <w:sz w:val="22"/>
        <w:u w:val="single"/>
        <w:lang w:val="en-PH"/>
      </w:rPr>
      <w:t>Annex C</w:t>
    </w:r>
    <w:r w:rsidR="00EA0C46">
      <w:rPr>
        <w:rFonts w:asciiTheme="minorHAnsi" w:hAnsiTheme="minorHAnsi" w:cstheme="minorHAnsi"/>
        <w:b/>
        <w:sz w:val="22"/>
        <w:u w:val="single"/>
        <w:lang w:val="en-PH"/>
      </w:rPr>
      <w:t>-1</w:t>
    </w:r>
  </w:p>
  <w:p w14:paraId="6D0B99F1" w14:textId="77777777" w:rsidR="00F821E9" w:rsidRPr="00C3090C" w:rsidRDefault="00F821E9" w:rsidP="00F821E9">
    <w:pPr>
      <w:pStyle w:val="Header"/>
      <w:jc w:val="right"/>
      <w:rPr>
        <w:rFonts w:asciiTheme="minorHAnsi" w:hAnsiTheme="minorHAnsi" w:cstheme="minorHAnsi"/>
        <w:b/>
        <w:sz w:val="22"/>
        <w:lang w:val="en-PH"/>
      </w:rPr>
    </w:pPr>
    <w:r w:rsidRPr="00C3090C">
      <w:rPr>
        <w:rFonts w:asciiTheme="minorHAnsi" w:hAnsiTheme="minorHAnsi" w:cstheme="minorHAnsi"/>
        <w:b/>
        <w:sz w:val="22"/>
        <w:lang w:val="en-PH"/>
      </w:rPr>
      <w:t>SSRD-RQTS-1A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4847"/>
    <w:multiLevelType w:val="hybridMultilevel"/>
    <w:tmpl w:val="FE548688"/>
    <w:lvl w:ilvl="0" w:tplc="8572C92E">
      <w:start w:val="1"/>
      <w:numFmt w:val="upperLetter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FFF4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ECE0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4CCDA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83758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E80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F736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C5A16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65824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E40E4"/>
    <w:multiLevelType w:val="hybridMultilevel"/>
    <w:tmpl w:val="60D8D8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A39"/>
    <w:multiLevelType w:val="hybridMultilevel"/>
    <w:tmpl w:val="B6902B6C"/>
    <w:lvl w:ilvl="0" w:tplc="3C20FD5C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ED652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45DE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A018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2F16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E288C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AF74C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A2270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688A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E0"/>
    <w:rsid w:val="00001B67"/>
    <w:rsid w:val="000206B8"/>
    <w:rsid w:val="00102474"/>
    <w:rsid w:val="00141155"/>
    <w:rsid w:val="002E51B9"/>
    <w:rsid w:val="003310DE"/>
    <w:rsid w:val="00344909"/>
    <w:rsid w:val="003A6055"/>
    <w:rsid w:val="00412CC3"/>
    <w:rsid w:val="00474AB4"/>
    <w:rsid w:val="0048549D"/>
    <w:rsid w:val="004A2B82"/>
    <w:rsid w:val="004B424C"/>
    <w:rsid w:val="00507661"/>
    <w:rsid w:val="005D7630"/>
    <w:rsid w:val="005F65CE"/>
    <w:rsid w:val="00626BF8"/>
    <w:rsid w:val="007022AD"/>
    <w:rsid w:val="007804A2"/>
    <w:rsid w:val="00780BE6"/>
    <w:rsid w:val="00882D69"/>
    <w:rsid w:val="00945998"/>
    <w:rsid w:val="00997CE0"/>
    <w:rsid w:val="00A001A5"/>
    <w:rsid w:val="00A009F5"/>
    <w:rsid w:val="00A6022D"/>
    <w:rsid w:val="00A94A54"/>
    <w:rsid w:val="00AB2C07"/>
    <w:rsid w:val="00B019B4"/>
    <w:rsid w:val="00B06083"/>
    <w:rsid w:val="00B51542"/>
    <w:rsid w:val="00BA5BD7"/>
    <w:rsid w:val="00BA5DE0"/>
    <w:rsid w:val="00C3090C"/>
    <w:rsid w:val="00C90BE0"/>
    <w:rsid w:val="00CF6443"/>
    <w:rsid w:val="00D439BB"/>
    <w:rsid w:val="00D74F38"/>
    <w:rsid w:val="00DB7216"/>
    <w:rsid w:val="00DF5A30"/>
    <w:rsid w:val="00E54180"/>
    <w:rsid w:val="00E55C35"/>
    <w:rsid w:val="00E56290"/>
    <w:rsid w:val="00E82BCD"/>
    <w:rsid w:val="00EA0C46"/>
    <w:rsid w:val="00F027C4"/>
    <w:rsid w:val="00F677C6"/>
    <w:rsid w:val="00F821E9"/>
    <w:rsid w:val="00F94746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AE4C"/>
  <w15:docId w15:val="{6DA1F9AC-451A-4945-AEE0-D89CBB5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9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8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74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38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38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1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15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2F97-0B05-4EF7-ADE2-8FB32DA22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31032-2C47-4B16-BDE7-D79F4E313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661A2-A5CA-4787-9243-54BD3B634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D8431-BF21-4135-BD99-A87B8261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UNDERTAKING</vt:lpstr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UNDERTAKING</dc:title>
  <dc:creator>belusow</dc:creator>
  <cp:lastModifiedBy>User</cp:lastModifiedBy>
  <cp:revision>2</cp:revision>
  <cp:lastPrinted>2021-02-05T07:18:00Z</cp:lastPrinted>
  <dcterms:created xsi:type="dcterms:W3CDTF">2021-02-05T07:19:00Z</dcterms:created>
  <dcterms:modified xsi:type="dcterms:W3CDTF">2021-02-05T07:19:00Z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